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16B0" w14:textId="77777777" w:rsidR="002C1A77" w:rsidRPr="001830B7" w:rsidRDefault="002C1A77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5E5D26C4" w14:textId="77777777" w:rsidR="00365E29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 xml:space="preserve">PROGRAM STUDIÓW: DZIENNIKARSTWO I KOMUNIKACJA SPOŁECZNA, </w:t>
      </w:r>
    </w:p>
    <w:p w14:paraId="36A51C53" w14:textId="671747E6" w:rsidR="006A2B6D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STUDIA I STOPNIA</w:t>
      </w:r>
      <w:r w:rsidR="007548B7" w:rsidRPr="001830B7">
        <w:rPr>
          <w:rFonts w:ascii="Verdana" w:hAnsi="Verdana"/>
          <w:b/>
        </w:rPr>
        <w:t xml:space="preserve"> </w:t>
      </w:r>
      <w:r w:rsidR="00CE3D44">
        <w:rPr>
          <w:rFonts w:ascii="Verdana" w:hAnsi="Verdana"/>
          <w:b/>
        </w:rPr>
        <w:t>NIE</w:t>
      </w:r>
      <w:r w:rsidR="007548B7" w:rsidRPr="001830B7">
        <w:rPr>
          <w:rFonts w:ascii="Verdana" w:hAnsi="Verdana"/>
          <w:b/>
        </w:rPr>
        <w:t>STACJONARNE</w:t>
      </w:r>
    </w:p>
    <w:p w14:paraId="773C5DF0" w14:textId="77777777" w:rsidR="006A2B6D" w:rsidRPr="001830B7" w:rsidRDefault="006A2B6D" w:rsidP="001830B7">
      <w:pPr>
        <w:spacing w:after="0" w:line="240" w:lineRule="auto"/>
        <w:rPr>
          <w:rFonts w:ascii="Verdana" w:hAnsi="Verdana"/>
          <w:b/>
        </w:rPr>
      </w:pPr>
    </w:p>
    <w:p w14:paraId="61ECAC75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0AB554DF" w14:textId="77777777" w:rsidR="000B0AAE" w:rsidRDefault="000B0AAE" w:rsidP="002910F4">
      <w:pPr>
        <w:spacing w:after="0" w:line="240" w:lineRule="auto"/>
        <w:rPr>
          <w:rFonts w:ascii="Verdana" w:hAnsi="Verdana"/>
        </w:rPr>
      </w:pPr>
    </w:p>
    <w:p w14:paraId="6985A987" w14:textId="77777777" w:rsidR="000B0AAE" w:rsidRPr="001830B7" w:rsidRDefault="000B0AAE" w:rsidP="002910F4">
      <w:pPr>
        <w:spacing w:after="0" w:line="240" w:lineRule="auto"/>
        <w:rPr>
          <w:rFonts w:ascii="Verdana" w:hAnsi="Verdana"/>
        </w:rPr>
      </w:pPr>
    </w:p>
    <w:p w14:paraId="47C59AED" w14:textId="77777777" w:rsidR="003D1B9F" w:rsidRPr="001830B7" w:rsidRDefault="003D1B9F" w:rsidP="001830B7">
      <w:pPr>
        <w:spacing w:after="0" w:line="240" w:lineRule="auto"/>
        <w:rPr>
          <w:rFonts w:ascii="Verdana" w:hAnsi="Verdana"/>
          <w:b/>
        </w:rPr>
      </w:pPr>
    </w:p>
    <w:p w14:paraId="02D54BBF" w14:textId="77777777" w:rsidR="003D1B9F" w:rsidRPr="001830B7" w:rsidRDefault="003D1B9F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SPECJALNOŚĆ:</w:t>
      </w:r>
      <w:r w:rsidR="00787899">
        <w:rPr>
          <w:rFonts w:ascii="Verdana" w:hAnsi="Verdana"/>
          <w:b/>
        </w:rPr>
        <w:t xml:space="preserve"> </w:t>
      </w:r>
      <w:r w:rsidRPr="001830B7">
        <w:rPr>
          <w:rFonts w:ascii="Verdana" w:hAnsi="Verdana"/>
          <w:b/>
        </w:rPr>
        <w:t>TWÓRCZE PISANIE (CREATIVE WRITING): FILM - TEATR – TELEWIZJA</w:t>
      </w:r>
    </w:p>
    <w:p w14:paraId="4BC7831A" w14:textId="77777777" w:rsidR="003D1B9F" w:rsidRPr="001830B7" w:rsidRDefault="003D1B9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3FFD5670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74E9D6EF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3D1B9F" w:rsidRPr="001830B7" w14:paraId="7A387B8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7D4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D900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ABC0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C127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D225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C406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F512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D1B9F" w:rsidRPr="001830B7" w14:paraId="5C0729B0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3B96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5D20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6CC3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4BE2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0DC0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4DE6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707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2F1232E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D33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3957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991B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87FE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EFD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41D2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C897" w14:textId="3D9D8BB4" w:rsidR="003D1B9F" w:rsidRPr="001830B7" w:rsidRDefault="00E703D1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01FCAAB4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C66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68D0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CA4E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DF7B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53F96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52CF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DB6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728B79EC" w14:textId="77777777" w:rsidTr="006C7473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7C5A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8750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F0A8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2B2B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F8EC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5D9F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E1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2296E6C3" w14:textId="77777777" w:rsidTr="006C7473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3AF5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FBC5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85E3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4632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D18A6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782B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0A8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1B96115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9B23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F4E7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18F9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E1FF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E3D72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8270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8DC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4</w:t>
            </w:r>
          </w:p>
        </w:tc>
      </w:tr>
      <w:tr w:rsidR="003D1B9F" w:rsidRPr="001830B7" w14:paraId="04E66EC9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34D0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7FE7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9A1C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F150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64B97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EB37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1E1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2FDDE1C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B32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3FD2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39FA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0A56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560A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A3F3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D25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797F0C2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8F2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BC3F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91AD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6A01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855DE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2F26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26B7" w14:textId="476CD064" w:rsidR="003D1B9F" w:rsidRPr="001830B7" w:rsidRDefault="00E703D1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3</w:t>
            </w:r>
          </w:p>
        </w:tc>
      </w:tr>
      <w:tr w:rsidR="003D1B9F" w:rsidRPr="001830B7" w14:paraId="06B457D7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0D8F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EF53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36AF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9A5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BD05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3AAF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883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2</w:t>
            </w:r>
          </w:p>
        </w:tc>
      </w:tr>
      <w:tr w:rsidR="003D1B9F" w:rsidRPr="001830B7" w14:paraId="5B9CF9F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981D" w14:textId="77777777" w:rsidR="003D1B9F" w:rsidRPr="001830B7" w:rsidRDefault="003D1B9F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A758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Język obcy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C034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6940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9DD8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58AF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313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0</w:t>
            </w:r>
          </w:p>
        </w:tc>
      </w:tr>
      <w:tr w:rsidR="002910F4" w:rsidRPr="001830B7" w14:paraId="3E21DF5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97E" w14:textId="77777777" w:rsidR="002910F4" w:rsidRPr="001830B7" w:rsidRDefault="002910F4" w:rsidP="00466A40">
            <w:pPr>
              <w:numPr>
                <w:ilvl w:val="0"/>
                <w:numId w:val="28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1E4EC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BHP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81CE2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8DA34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7B708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AC4F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3D07" w14:textId="77777777" w:rsidR="002910F4" w:rsidRPr="001830B7" w:rsidRDefault="002910F4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0</w:t>
            </w:r>
          </w:p>
        </w:tc>
      </w:tr>
      <w:tr w:rsidR="003D1B9F" w:rsidRPr="001830B7" w14:paraId="6942D1F3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672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EDE9" w14:textId="77777777" w:rsidR="003D1B9F" w:rsidRPr="001830B7" w:rsidRDefault="003D1B9F" w:rsidP="002910F4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20</w:t>
            </w:r>
            <w:r w:rsidR="002910F4">
              <w:rPr>
                <w:rFonts w:ascii="Verdana" w:eastAsia="Times New Roman" w:hAnsi="Verdana" w:cs="Times New Roman"/>
                <w:b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ED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049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78CB1175" w14:textId="77777777" w:rsidR="00772FCD" w:rsidRDefault="00772FCD" w:rsidP="00772F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437D4C18" w14:textId="77777777" w:rsidR="003D1B9F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8DCFA7A" w14:textId="77777777" w:rsidR="006C7473" w:rsidRPr="001830B7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1081F849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II semestr</w:t>
      </w:r>
    </w:p>
    <w:tbl>
      <w:tblPr>
        <w:tblW w:w="9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3D1B9F" w:rsidRPr="001830B7" w14:paraId="0AFE4918" w14:textId="77777777" w:rsidTr="00E703D1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B37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7460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7438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7687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F7AD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778B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0028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D1B9F" w:rsidRPr="001830B7" w14:paraId="7585AB1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2D7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79F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BD0B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3460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2B8C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7D80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4D2E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3D1B9F" w:rsidRPr="001830B7" w14:paraId="443CA1F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35D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F19B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AF7B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D3C9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90C11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0EB6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B4BD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5B1ACBD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209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E1E6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>Problemy współczesnej audiosfery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50D5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DCC2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EA0B5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808B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EAFD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7429218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DF3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011C4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>Współczesna literatura powszechna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678C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4255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332C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D249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3CDF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7DC5FCE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5B90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AA3D1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>E-literatura i e-książka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B501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D0B1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ECDFD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15DF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CA48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6703A83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8F5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57865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>Praktyczne pisanie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88E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6B1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769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D2F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A346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7196B3E8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212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13017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 xml:space="preserve">Reportaż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BB0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9DE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9BE1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0C5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B7F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2E8783D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D10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C1A4E" w14:textId="77777777" w:rsidR="003D1B9F" w:rsidRPr="002910F4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2910F4">
              <w:rPr>
                <w:rFonts w:ascii="Verdana" w:eastAsia="Times New Roman" w:hAnsi="Verdana" w:cs="Calibri"/>
                <w:i/>
                <w:lang w:eastAsia="zh-CN"/>
              </w:rPr>
              <w:t>Wprowadzenie do krytyki literackiej i artystycznej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CD7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4C9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01352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222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2BA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3305DC2B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024E" w14:textId="77777777" w:rsidR="003D1B9F" w:rsidRPr="001830B7" w:rsidRDefault="003D1B9F" w:rsidP="006C7473">
            <w:pPr>
              <w:numPr>
                <w:ilvl w:val="0"/>
                <w:numId w:val="29"/>
              </w:numPr>
              <w:suppressAutoHyphens/>
              <w:spacing w:after="0" w:line="240" w:lineRule="auto"/>
              <w:ind w:hanging="337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3D3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AF00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7D55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1959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D53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B03C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3D1B9F" w:rsidRPr="001830B7" w14:paraId="373D32D5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C345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FC0F8" w14:textId="77777777" w:rsidR="003D1B9F" w:rsidRPr="001830B7" w:rsidRDefault="00787801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AD71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6F6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527839BC" w14:textId="77777777" w:rsidR="003D1B9F" w:rsidRP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>
        <w:rPr>
          <w:rFonts w:ascii="Verdana" w:eastAsia="Times New Roman" w:hAnsi="Verdana" w:cs="Times New Roman"/>
          <w:b/>
          <w:lang w:eastAsia="zh-CN"/>
        </w:rPr>
        <w:lastRenderedPageBreak/>
        <w:t>III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3D1B9F" w:rsidRPr="001830B7" w14:paraId="5A85E09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C2A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6727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1AF6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8F9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74C2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20B0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8ECE1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D1B9F" w:rsidRPr="001830B7" w14:paraId="625FABF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138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25C4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09C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10C2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B6E8E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D47A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3AF1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23AA8ED7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E514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1E46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4A08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F5C2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ED01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8AE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A6828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4259759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C72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D00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8460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298E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108E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01D5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DFF5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21029BDB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B63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8FDA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74CF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E8D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147A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70A2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E89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306CADB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53B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E2CD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C4B5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32AC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C52B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EAC4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BE55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5332C224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328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7568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F293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D41A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D7F1C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2395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05EA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235E66EB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AA4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AFE12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 xml:space="preserve">Małe formy prozatorskie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BFD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A4D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32D0B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BD6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4AC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D1B9F" w:rsidRPr="001830B7" w14:paraId="15CDC950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D90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2865C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Kultura i literatura popularna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337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73C7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830FF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794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A66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425035E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A43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658A9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Słuchowisko - 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075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541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80A9D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D4D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2C74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02D39EF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ED7B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63B03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Krótkie formy filmowe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A5D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714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6CB0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6B6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5027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53D7153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4ED" w14:textId="77777777" w:rsidR="003D1B9F" w:rsidRPr="001830B7" w:rsidRDefault="003D1B9F" w:rsidP="006C7473">
            <w:pPr>
              <w:numPr>
                <w:ilvl w:val="0"/>
                <w:numId w:val="30"/>
              </w:numPr>
              <w:suppressAutoHyphens/>
              <w:spacing w:after="0" w:line="240" w:lineRule="auto"/>
              <w:ind w:hanging="326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7C59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50DB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CE3F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43DD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338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07FE4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3D1B9F" w:rsidRPr="001830B7" w14:paraId="39EC4117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67C9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300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82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697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3789EC0B" w14:textId="77777777" w:rsidR="003D1B9F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41312FEC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170846FB" w14:textId="77777777" w:rsidR="006C7473" w:rsidRPr="001830B7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397C148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IV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3D1B9F" w:rsidRPr="001830B7" w14:paraId="766B7E8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C68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37EB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1F3F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A679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4C4A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085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2E5E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D1B9F" w:rsidRPr="001830B7" w14:paraId="10A2A3F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1DB2F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2615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CC9C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4BCB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89CF6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A531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B5BC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12698A4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380A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BFA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883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673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D714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FE23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8358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75E45D7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BDCC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215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CA9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A6A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32DCE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FDF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ED88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57A36189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256A7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315F8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val="en-US"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 xml:space="preserve">Wywiad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81A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536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AD1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7CA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49E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6E54C08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1A235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89223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Publicystyka – teoria i praktyka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1C1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3E6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F1C5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E6F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4CE5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3698381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AD4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BDBE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Pracownia literacka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FCF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3D0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AAC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81F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77BC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1903A5E7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D0A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7B96" w14:textId="77777777" w:rsidR="003D1B9F" w:rsidRPr="00FA6E26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FA6E26">
              <w:rPr>
                <w:rFonts w:ascii="Verdana" w:eastAsia="Times New Roman" w:hAnsi="Verdana" w:cs="Times New Roman"/>
                <w:i/>
                <w:lang w:eastAsia="zh-CN"/>
              </w:rPr>
              <w:t>Współczesna literatura polska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0F0C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C59F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56BB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01F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9696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056A93E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53E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4073" w14:textId="77777777" w:rsidR="003D1B9F" w:rsidRPr="00FA6E26" w:rsidRDefault="003D1B9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Podstawy montażu filmowego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6F52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3D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0C2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10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6A9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</w:t>
            </w:r>
          </w:p>
        </w:tc>
      </w:tr>
      <w:tr w:rsidR="003D1B9F" w:rsidRPr="001830B7" w14:paraId="717B15B4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BF77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264D" w14:textId="77777777" w:rsidR="003D1B9F" w:rsidRPr="00FA6E26" w:rsidRDefault="003D1B9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Podstawy realizacji dźwięku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B4B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B57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3CB3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730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7868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</w:t>
            </w:r>
          </w:p>
        </w:tc>
      </w:tr>
      <w:tr w:rsidR="003D1B9F" w:rsidRPr="001830B7" w14:paraId="5C81F9B8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81F" w14:textId="77777777" w:rsidR="003D1B9F" w:rsidRPr="001830B7" w:rsidRDefault="003D1B9F" w:rsidP="006C7473">
            <w:pPr>
              <w:numPr>
                <w:ilvl w:val="0"/>
                <w:numId w:val="3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AF50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3F91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DA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A0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C28C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61CF" w14:textId="77777777" w:rsidR="003D1B9F" w:rsidRPr="001830B7" w:rsidRDefault="003D1B9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3D1B9F" w:rsidRPr="001830B7" w14:paraId="21F75B7A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F88A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80C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AE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F55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297D277F" w14:textId="77777777" w:rsidR="003D1B9F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4160F440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F870F2C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B5DCF3F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18E46993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0DB2DD09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1D65154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5FAB9B1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6EB27B49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169B376" w14:textId="77777777" w:rsidR="00772FCD" w:rsidRDefault="00772FCD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5030A45E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51E85EF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F050F39" w14:textId="77777777" w:rsidR="006C7473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025B8AC" w14:textId="77777777" w:rsidR="006C7473" w:rsidRPr="001830B7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22A9CD0" w14:textId="77777777" w:rsidR="003D1B9F" w:rsidRPr="001830B7" w:rsidRDefault="003D1B9F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lastRenderedPageBreak/>
        <w:t>Semestr V</w:t>
      </w:r>
      <w:r w:rsidRPr="001830B7">
        <w:rPr>
          <w:rFonts w:ascii="Verdana" w:eastAsia="Times New Roman" w:hAnsi="Verdana" w:cs="Times New Roman"/>
          <w:b/>
          <w:lang w:eastAsia="zh-CN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3D1B9F" w:rsidRPr="001830B7" w14:paraId="4989B37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BAF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87D9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B39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2AE7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B9FD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FACC9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5EE8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C9554B" w:rsidRPr="001830B7" w14:paraId="3A61084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787A5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B987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5BB32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B2117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1447A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CBCFC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E005" w14:textId="2DEA4A82" w:rsidR="00C9554B" w:rsidRPr="001830B7" w:rsidRDefault="00C9554B" w:rsidP="00C9554B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C9554B" w:rsidRPr="001830B7" w14:paraId="1B8EDB0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86A75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8E758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FD077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D5998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2F96E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7C94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6EBC" w14:textId="7AFA3BC3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49BCCA89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158C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887AE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Data journalism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A06A9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E6354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55081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E272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B9AB" w14:textId="0ED70043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2464B2B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572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7C1C9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Warsztat powieściopisarza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2106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B753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AC452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371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0549" w14:textId="37C124C4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0C9A2A3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C1BE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A81FF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Kino i film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E3AA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A3F0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0E3F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246B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0FF6" w14:textId="7784B722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C9554B" w:rsidRPr="001830B7" w14:paraId="060907C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04EE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3D17D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Fotografia artystyczna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76A3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16F8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F412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376C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FEC2" w14:textId="77E4AAC0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3B52E43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88F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6E993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Promocja książki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8C03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203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9322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6A6C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A0BA" w14:textId="733AB4E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6DBE9D40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031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65592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Warsztat non fiction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9FE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116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63A1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F9F2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8652" w14:textId="2976C974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C9554B" w:rsidRPr="001830B7" w14:paraId="4952BE2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3998F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6DFC9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FA6E26">
              <w:rPr>
                <w:rFonts w:ascii="Verdana" w:eastAsia="Times New Roman" w:hAnsi="Verdana" w:cs="Times New Roman"/>
                <w:i/>
                <w:lang w:eastAsia="zh-CN"/>
              </w:rPr>
              <w:t>Podcasting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3FDE1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F9519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6C7473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E3A8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57C60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2846" w14:textId="29ACCDF4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C9554B" w:rsidRPr="001830B7" w14:paraId="6123A42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5A4E7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3F761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Esej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0654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FEF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CF3C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1B7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390F" w14:textId="0C70C9ED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C9554B" w:rsidRPr="001830B7" w14:paraId="70B3C6C9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E473D" w14:textId="77777777" w:rsidR="00C9554B" w:rsidRPr="001830B7" w:rsidRDefault="00C9554B" w:rsidP="00C9554B">
            <w:pPr>
              <w:numPr>
                <w:ilvl w:val="0"/>
                <w:numId w:val="3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06C" w14:textId="77777777" w:rsidR="00C9554B" w:rsidRPr="00FA6E26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FA6E26">
              <w:rPr>
                <w:rFonts w:ascii="Verdana" w:eastAsia="Times New Roman" w:hAnsi="Verdana" w:cs="Times New Roman"/>
                <w:i/>
                <w:lang w:eastAsia="zh-CN"/>
              </w:rPr>
              <w:t>Teoria filmowej adaptacji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0116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1BD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662B" w14:textId="77777777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568A" w14:textId="77777777" w:rsidR="00C9554B" w:rsidRPr="001830B7" w:rsidRDefault="00C9554B" w:rsidP="00C9554B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BA96" w14:textId="23B545B9" w:rsidR="00C9554B" w:rsidRPr="001830B7" w:rsidRDefault="00C9554B" w:rsidP="00C9554B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D1B9F" w:rsidRPr="001830B7" w14:paraId="66F4E65C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DF2FF" w14:textId="77777777" w:rsidR="003D1B9F" w:rsidRPr="006C7473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6C7473">
              <w:rPr>
                <w:rFonts w:ascii="Verdana" w:eastAsia="Times New Roman" w:hAnsi="Verdana" w:cs="Times New Roman"/>
                <w:b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002B8" w14:textId="77777777" w:rsidR="003D1B9F" w:rsidRPr="006C7473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6C7473">
              <w:rPr>
                <w:rFonts w:ascii="Verdana" w:eastAsia="Times New Roman" w:hAnsi="Verdana" w:cs="Times New Roman"/>
                <w:b/>
                <w:lang w:eastAsia="zh-CN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1DC3" w14:textId="77777777" w:rsidR="003D1B9F" w:rsidRPr="006C7473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C8A2" w14:textId="77777777" w:rsidR="003D1B9F" w:rsidRPr="006C7473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6C7473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5C364CD5" w14:textId="77777777" w:rsidR="003D1B9F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A2E796C" w14:textId="77777777" w:rsidR="006C7473" w:rsidRPr="001830B7" w:rsidRDefault="006C7473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53F4E93E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Semestr VI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3D1B9F" w:rsidRPr="001830B7" w14:paraId="669E4D8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D48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A133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EF1A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A6080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4E27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1ED5D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BF0B5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154BC7" w:rsidRPr="001830B7" w14:paraId="4B9EE08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3FE3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D89B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96C9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8D30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54122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6EE5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3436" w14:textId="0AF91BEE" w:rsidR="00154BC7" w:rsidRPr="001830B7" w:rsidRDefault="00154BC7" w:rsidP="00154BC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154BC7" w:rsidRPr="001830B7" w14:paraId="53F868D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80A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BE8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Teorie komunikowania masowego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82CE5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28D3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E2C7A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07A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835D" w14:textId="568E53EB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154BC7" w:rsidRPr="001830B7" w14:paraId="47D4D00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DA5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2EA58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Warsztat poetycki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4FEED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6C1D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48035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62C6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009A" w14:textId="139BA6DA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154BC7" w:rsidRPr="001830B7" w14:paraId="7D668A18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DD09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56E19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Warsztat reklamy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D8807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514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3F23B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938F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8B6D" w14:textId="62D70BEF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154BC7" w:rsidRPr="001830B7" w14:paraId="76D25D1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AF15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595EB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Literatura audialna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51151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2C10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4146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5DDA5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B3CC" w14:textId="4B5C6A05" w:rsidR="00154BC7" w:rsidRPr="001830B7" w:rsidRDefault="00154BC7" w:rsidP="00154BC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154BC7" w:rsidRPr="001830B7" w14:paraId="180F5DE8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94BB5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6CBE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Scenariusz filmowy i telewizyjny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96F4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DF7F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8DBD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D438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58BC2" w14:textId="701C4803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154BC7" w:rsidRPr="001830B7" w14:paraId="2935B8C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4B40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D920B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Współczesny film dokumentalny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87E3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EBC8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02BD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F782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1C48" w14:textId="092ACEE2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154BC7" w:rsidRPr="001830B7" w14:paraId="708D565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2367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0E4FD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FA6E26">
              <w:rPr>
                <w:rFonts w:ascii="Verdana" w:eastAsia="Times New Roman" w:hAnsi="Verdana" w:cs="Calibri"/>
                <w:i/>
                <w:lang w:eastAsia="zh-CN"/>
              </w:rPr>
              <w:t>Eksperymentalne formy literackie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D64BA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EA7E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C314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D845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883D" w14:textId="61FAD94F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154BC7" w:rsidRPr="001830B7" w14:paraId="5AAB51B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1AB3" w14:textId="77777777" w:rsidR="00154BC7" w:rsidRPr="001830B7" w:rsidRDefault="00154BC7" w:rsidP="00154BC7">
            <w:pPr>
              <w:numPr>
                <w:ilvl w:val="0"/>
                <w:numId w:val="3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B2FCD" w14:textId="77777777" w:rsidR="00154BC7" w:rsidRPr="00FA6E26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FA6E26">
              <w:rPr>
                <w:rFonts w:ascii="Verdana" w:eastAsia="Times New Roman" w:hAnsi="Verdana" w:cs="Times New Roman"/>
                <w:i/>
                <w:lang w:eastAsia="zh-CN"/>
              </w:rPr>
              <w:t>Wprowadzenie do antropologii widowisk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F2A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0A57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DA8" w14:textId="77777777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458A" w14:textId="77777777" w:rsidR="00154BC7" w:rsidRPr="001830B7" w:rsidRDefault="00154BC7" w:rsidP="00154BC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8C1" w14:textId="2659DA2D" w:rsidR="00154BC7" w:rsidRPr="001830B7" w:rsidRDefault="00154BC7" w:rsidP="00154BC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D1B9F" w:rsidRPr="001830B7" w14:paraId="3A4959ED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A064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0946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077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D7E" w14:textId="77777777" w:rsidR="003D1B9F" w:rsidRPr="001830B7" w:rsidRDefault="003D1B9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2B0BBC61" w14:textId="77777777" w:rsidR="003D1B9F" w:rsidRPr="001830B7" w:rsidRDefault="003D1B9F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C46A290" w14:textId="77777777" w:rsidR="003D1B9F" w:rsidRPr="001830B7" w:rsidRDefault="003D1B9F" w:rsidP="001830B7">
      <w:pPr>
        <w:spacing w:after="0" w:line="240" w:lineRule="auto"/>
        <w:rPr>
          <w:rFonts w:ascii="Verdana" w:hAnsi="Verdana" w:cs="Calibri"/>
          <w:b/>
        </w:rPr>
      </w:pPr>
    </w:p>
    <w:p w14:paraId="3CD75989" w14:textId="77777777" w:rsidR="00FA6E26" w:rsidRPr="001830B7" w:rsidRDefault="00FA6E26" w:rsidP="00FA6E2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2C92B3EA" w14:textId="77777777" w:rsidR="00FA6E26" w:rsidRPr="001830B7" w:rsidRDefault="00FA6E26" w:rsidP="00FA6E2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051E8609" w14:textId="77777777" w:rsidR="00A53099" w:rsidRDefault="00FA6E26" w:rsidP="00A53099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A53099">
        <w:rPr>
          <w:rFonts w:ascii="Verdana" w:hAnsi="Verdana"/>
        </w:rPr>
        <w:t>106 (59</w:t>
      </w:r>
      <w:r w:rsidR="00A53099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A53099" w:rsidRPr="001830B7">
        <w:rPr>
          <w:rFonts w:ascii="Verdana" w:hAnsi="Verdana"/>
        </w:rPr>
        <w:t>punktów ECTS realizowanych w ramach przedmiotów z wolnego wyboru</w:t>
      </w:r>
      <w:r w:rsidR="00A53099">
        <w:rPr>
          <w:rFonts w:ascii="Verdana" w:hAnsi="Verdana"/>
        </w:rPr>
        <w:t xml:space="preserve"> (przedmioty specjalnościowe, język obcy, seminarium licencjackie)</w:t>
      </w:r>
    </w:p>
    <w:p w14:paraId="6E54354B" w14:textId="7A4A07EA" w:rsidR="00FA6E26" w:rsidRPr="001830B7" w:rsidRDefault="00FA6E26" w:rsidP="00FA6E26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2F8D6559" w14:textId="77777777" w:rsidR="00FA6E26" w:rsidRDefault="00FA6E26" w:rsidP="00FA6E2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5E75DEC6" w14:textId="77777777" w:rsidR="00FA6E26" w:rsidRPr="001830B7" w:rsidRDefault="00FA6E26" w:rsidP="00FA6E2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1108</w:t>
      </w:r>
    </w:p>
    <w:p w14:paraId="6AF02ACB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1AA697EC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041EFB0D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3391CBAF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7B3FC79F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0C373FF" w14:textId="77777777" w:rsidR="000B0AAE" w:rsidRPr="001830B7" w:rsidRDefault="000B0AAE" w:rsidP="001830B7">
      <w:pPr>
        <w:spacing w:after="0" w:line="240" w:lineRule="auto"/>
        <w:rPr>
          <w:rFonts w:ascii="Verdana" w:hAnsi="Verdana"/>
        </w:rPr>
      </w:pPr>
    </w:p>
    <w:p w14:paraId="63EE7E6A" w14:textId="2780E832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Profil kształcenia: ogólnoakademicki</w:t>
            </w:r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w zaawansowanym stopniu terminologię z zakresu nauk o komunikacji społecznej i mediach, a także specjalistyczny język charakterystyczny dla zawodów medialnych i okołomedialnych</w:t>
            </w:r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okołomedialnych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pojęcia i zasady z zakresu ochrony prawa autorskiego, zwłaszcza w odniesieniu do działalności medialnej i okołomedialnej</w:t>
            </w:r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okołomedialnych</w:t>
            </w:r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rozumie rolę mediów w kształtowaniu społecznych postaw i zachowań</w:t>
            </w:r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w celu diagnozowania i rozwiązywania problemów komunikologicznych i medioznawczych oraz związanych z działalnością medialną i okołomedialną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okołomedialnej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okołomedialnych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Profil kształcenia: ogólnoakademicki</w:t>
            </w:r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70C0" w14:textId="77777777" w:rsidR="00E752DB" w:rsidRDefault="00E752DB">
      <w:pPr>
        <w:spacing w:after="0" w:line="240" w:lineRule="auto"/>
      </w:pPr>
      <w:r>
        <w:separator/>
      </w:r>
    </w:p>
  </w:endnote>
  <w:endnote w:type="continuationSeparator" w:id="0">
    <w:p w14:paraId="466D6DF3" w14:textId="77777777" w:rsidR="00E752DB" w:rsidRDefault="00E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B385" w14:textId="77777777" w:rsidR="00E752DB" w:rsidRDefault="00E752DB">
      <w:pPr>
        <w:spacing w:after="0" w:line="240" w:lineRule="auto"/>
      </w:pPr>
      <w:r>
        <w:separator/>
      </w:r>
    </w:p>
  </w:footnote>
  <w:footnote w:type="continuationSeparator" w:id="0">
    <w:p w14:paraId="217568D3" w14:textId="77777777" w:rsidR="00E752DB" w:rsidRDefault="00E7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539630">
    <w:abstractNumId w:val="12"/>
  </w:num>
  <w:num w:numId="2" w16cid:durableId="1914271736">
    <w:abstractNumId w:val="41"/>
  </w:num>
  <w:num w:numId="3" w16cid:durableId="752052586">
    <w:abstractNumId w:val="14"/>
  </w:num>
  <w:num w:numId="4" w16cid:durableId="1263799382">
    <w:abstractNumId w:val="30"/>
  </w:num>
  <w:num w:numId="5" w16cid:durableId="2092509076">
    <w:abstractNumId w:val="34"/>
  </w:num>
  <w:num w:numId="6" w16cid:durableId="1123422630">
    <w:abstractNumId w:val="23"/>
  </w:num>
  <w:num w:numId="7" w16cid:durableId="1218932888">
    <w:abstractNumId w:val="7"/>
  </w:num>
  <w:num w:numId="8" w16cid:durableId="1359507850">
    <w:abstractNumId w:val="37"/>
  </w:num>
  <w:num w:numId="9" w16cid:durableId="2137067642">
    <w:abstractNumId w:val="3"/>
  </w:num>
  <w:num w:numId="10" w16cid:durableId="1307853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4354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61723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292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1583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482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2842418">
    <w:abstractNumId w:val="33"/>
  </w:num>
  <w:num w:numId="17" w16cid:durableId="1544052326">
    <w:abstractNumId w:val="32"/>
  </w:num>
  <w:num w:numId="18" w16cid:durableId="2130738098">
    <w:abstractNumId w:val="17"/>
  </w:num>
  <w:num w:numId="19" w16cid:durableId="1190144190">
    <w:abstractNumId w:val="39"/>
  </w:num>
  <w:num w:numId="20" w16cid:durableId="1660380959">
    <w:abstractNumId w:val="10"/>
  </w:num>
  <w:num w:numId="21" w16cid:durableId="1755934548">
    <w:abstractNumId w:val="31"/>
  </w:num>
  <w:num w:numId="22" w16cid:durableId="135218891">
    <w:abstractNumId w:val="9"/>
  </w:num>
  <w:num w:numId="23" w16cid:durableId="11105886">
    <w:abstractNumId w:val="8"/>
  </w:num>
  <w:num w:numId="24" w16cid:durableId="498472112">
    <w:abstractNumId w:val="15"/>
  </w:num>
  <w:num w:numId="25" w16cid:durableId="669136562">
    <w:abstractNumId w:val="13"/>
  </w:num>
  <w:num w:numId="26" w16cid:durableId="693925096">
    <w:abstractNumId w:val="4"/>
  </w:num>
  <w:num w:numId="27" w16cid:durableId="1328753978">
    <w:abstractNumId w:val="11"/>
  </w:num>
  <w:num w:numId="28" w16cid:durableId="439956995">
    <w:abstractNumId w:val="6"/>
  </w:num>
  <w:num w:numId="29" w16cid:durableId="1918855521">
    <w:abstractNumId w:val="18"/>
  </w:num>
  <w:num w:numId="30" w16cid:durableId="340278514">
    <w:abstractNumId w:val="35"/>
  </w:num>
  <w:num w:numId="31" w16cid:durableId="1149246534">
    <w:abstractNumId w:val="27"/>
  </w:num>
  <w:num w:numId="32" w16cid:durableId="111870250">
    <w:abstractNumId w:val="5"/>
  </w:num>
  <w:num w:numId="33" w16cid:durableId="537427350">
    <w:abstractNumId w:val="16"/>
  </w:num>
  <w:num w:numId="34" w16cid:durableId="618799444">
    <w:abstractNumId w:val="38"/>
  </w:num>
  <w:num w:numId="35" w16cid:durableId="773063608">
    <w:abstractNumId w:val="28"/>
  </w:num>
  <w:num w:numId="36" w16cid:durableId="833493512">
    <w:abstractNumId w:val="24"/>
  </w:num>
  <w:num w:numId="37" w16cid:durableId="1411463148">
    <w:abstractNumId w:val="21"/>
  </w:num>
  <w:num w:numId="38" w16cid:durableId="1646230079">
    <w:abstractNumId w:val="2"/>
  </w:num>
  <w:num w:numId="39" w16cid:durableId="620765412">
    <w:abstractNumId w:val="40"/>
  </w:num>
  <w:num w:numId="40" w16cid:durableId="612253649">
    <w:abstractNumId w:val="1"/>
  </w:num>
  <w:num w:numId="41" w16cid:durableId="469716655">
    <w:abstractNumId w:val="29"/>
  </w:num>
  <w:num w:numId="42" w16cid:durableId="395665730">
    <w:abstractNumId w:val="20"/>
  </w:num>
  <w:num w:numId="43" w16cid:durableId="1134711504">
    <w:abstractNumId w:val="19"/>
  </w:num>
  <w:num w:numId="44" w16cid:durableId="1124076668">
    <w:abstractNumId w:val="36"/>
  </w:num>
  <w:num w:numId="45" w16cid:durableId="283317876">
    <w:abstractNumId w:val="25"/>
  </w:num>
  <w:num w:numId="46" w16cid:durableId="1889610975">
    <w:abstractNumId w:val="26"/>
  </w:num>
  <w:num w:numId="47" w16cid:durableId="99071618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0507C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5B20"/>
    <w:rsid w:val="002F618D"/>
    <w:rsid w:val="00302C09"/>
    <w:rsid w:val="00307E7C"/>
    <w:rsid w:val="00321979"/>
    <w:rsid w:val="00365E29"/>
    <w:rsid w:val="003756A9"/>
    <w:rsid w:val="0038439D"/>
    <w:rsid w:val="003B3224"/>
    <w:rsid w:val="003C1029"/>
    <w:rsid w:val="003D04F8"/>
    <w:rsid w:val="003D1B9F"/>
    <w:rsid w:val="003D34E1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7566"/>
    <w:rsid w:val="004B4BA7"/>
    <w:rsid w:val="004C76C8"/>
    <w:rsid w:val="004D249E"/>
    <w:rsid w:val="004D3D26"/>
    <w:rsid w:val="004E2CBD"/>
    <w:rsid w:val="004F1B7C"/>
    <w:rsid w:val="00517F63"/>
    <w:rsid w:val="005340FC"/>
    <w:rsid w:val="00536D4F"/>
    <w:rsid w:val="00561AB8"/>
    <w:rsid w:val="0057420F"/>
    <w:rsid w:val="005810E7"/>
    <w:rsid w:val="0058296B"/>
    <w:rsid w:val="00587517"/>
    <w:rsid w:val="005A6A60"/>
    <w:rsid w:val="005C5AE0"/>
    <w:rsid w:val="005C6A3A"/>
    <w:rsid w:val="005D2DAE"/>
    <w:rsid w:val="005D3E3D"/>
    <w:rsid w:val="00611516"/>
    <w:rsid w:val="0061742D"/>
    <w:rsid w:val="00630130"/>
    <w:rsid w:val="006919BB"/>
    <w:rsid w:val="00694E16"/>
    <w:rsid w:val="006A0BE5"/>
    <w:rsid w:val="006A2B6D"/>
    <w:rsid w:val="006C1A3A"/>
    <w:rsid w:val="006C630A"/>
    <w:rsid w:val="006C7473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38E1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D3876"/>
    <w:rsid w:val="00CE3D44"/>
    <w:rsid w:val="00CF1F81"/>
    <w:rsid w:val="00CF6A7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752DB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12</cp:revision>
  <dcterms:created xsi:type="dcterms:W3CDTF">2023-03-13T14:03:00Z</dcterms:created>
  <dcterms:modified xsi:type="dcterms:W3CDTF">2023-04-17T13:23:00Z</dcterms:modified>
</cp:coreProperties>
</file>